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年广东省支持高端品质认证项目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黑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申报指南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高端品质认证，是指认证机构在食品农产品、消费品、装备制造、服务业等领域，依据国内外先进标准或其他高于行业通行标准的特定要求，对产品和服务实施的合格评定活动。获证对象应能充分体现出领先行业普遍水平的消费友好、环境友好、资源友好等高品质特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  <w:t>二、工作目标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通过公开征集、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资料审核、专家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评审、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结果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公示等方式，对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质量、安全、健康、绿色、服务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等方面采用高于国家、行业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的先进标准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，有利于促进广东产业转型升级，更好满足人们高品质生活需求的产品或服务开展的自愿性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高端品质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认证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项目予以支持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带动质量认证创新发展，引领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产品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服务品质提升，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助力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经济社会高质量发展。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  <w:t>三、申报领域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（一）第三代半导体芯片、智能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机器人、高端装备制造、区块链与量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子信息、物联网、前沿新材料、新能源、城市轨道交通装备、数字创业产业等前沿领域相关自愿性认证项目。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（二）智能家电、现代轻工纺织、健康产业、现代农业与食品产业等提升消费品质的相关自愿性产品认证项目。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（三）健康、金融、电商等领域服务认证。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  <w:t>四、申报条件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（一）申报机构应当符合以下条件：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1.广东省内注册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认证机构或分支机构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.近3年内，申报主体及其分支机构在经营活动中没有重大违法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或失信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记录，未受到政府部门通报批评。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（二）申报项目应当符合以下条件：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1.在粤机构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自主研发的高端品质自愿性认证项目，申报项目率先在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广东省范围内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2.申报项目涉及领域符合本指南规定的申报领域要求。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3.认证依据的标准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、技术规范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质量、安全、健康、绿色、服务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等某个或多个方面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高于国家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、行业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标准，在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促进技术创新和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产品品质提升、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消费升级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等方面作用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认证结果得到行业认可和采用，被商超平台采信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，取得了良好经济效益和社会效益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eastAsia="黑体" w:cs="黑体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  <w:t>、支持方式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根据评审结果实行分级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  <w:t>一级支持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项目单个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  <w:t>项目支持资金为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30万元，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  <w:t>二级支持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项目单个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  <w:t>项目支持资金为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20万元，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  <w:t>三级支持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项目单个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  <w:t>项目支持资金为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10万元。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mI1NTIyMTgyYWI1YWFlNjg0NDc3NWZhNTJkMDcifQ=="/>
  </w:docVars>
  <w:rsids>
    <w:rsidRoot w:val="00000000"/>
    <w:rsid w:val="426E06BB"/>
    <w:rsid w:val="6F695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3002</Words>
  <Characters>3444</Characters>
  <Lines>0</Lines>
  <Paragraphs>0</Paragraphs>
  <TotalTime>0</TotalTime>
  <ScaleCrop>false</ScaleCrop>
  <LinksUpToDate>false</LinksUpToDate>
  <CharactersWithSpaces>3586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gdqts</dc:creator>
  <cp:lastModifiedBy>Olivia</cp:lastModifiedBy>
  <dcterms:modified xsi:type="dcterms:W3CDTF">2022-08-10T06:29:42Z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81056C26D3A34E8184D7C2313371C6FC</vt:lpwstr>
  </property>
</Properties>
</file>